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808784">
      <w:pPr>
        <w:tabs>
          <w:tab w:val="right" w:pos="9216"/>
        </w:tabs>
        <w:spacing w:after="0"/>
        <w:rPr>
          <w:rFonts w:hint="default"/>
          <w:b/>
          <w:kern w:val="2"/>
          <w:lang w:val="en-US" w:eastAsia="zh-CN"/>
        </w:rPr>
      </w:pPr>
      <w:r>
        <w:rPr>
          <w:b/>
          <w:kern w:val="2"/>
          <w:lang w:eastAsia="zh-CN"/>
        </w:rPr>
        <w:t>3GPP TSG-RAN WG1 Meeting #</w:t>
      </w:r>
      <w:r>
        <w:rPr>
          <w:rFonts w:hint="eastAsia"/>
          <w:b/>
          <w:kern w:val="2"/>
          <w:lang w:val="en-US" w:eastAsia="zh-CN"/>
        </w:rPr>
        <w:t>RAN 119</w:t>
      </w:r>
      <w:r>
        <w:rPr>
          <w:b/>
          <w:kern w:val="2"/>
          <w:lang w:eastAsia="zh-CN"/>
        </w:rPr>
        <w:tab/>
      </w:r>
      <w:r>
        <w:rPr>
          <w:b/>
          <w:kern w:val="2"/>
          <w:lang w:eastAsia="zh-CN"/>
        </w:rPr>
        <w:t>R1-</w:t>
      </w:r>
      <w:r>
        <w:rPr>
          <w:rFonts w:hint="eastAsia"/>
          <w:b/>
          <w:kern w:val="2"/>
          <w:lang w:val="en-US" w:eastAsia="zh-CN"/>
        </w:rPr>
        <w:t>2410040</w:t>
      </w:r>
    </w:p>
    <w:p w14:paraId="33D28B86">
      <w:pPr>
        <w:rPr>
          <w:rFonts w:hint="default"/>
          <w:b/>
          <w:kern w:val="2"/>
          <w:lang w:val="en-US" w:eastAsia="zh-CN"/>
        </w:rPr>
      </w:pPr>
      <w:r>
        <w:rPr>
          <w:rFonts w:hint="eastAsia"/>
          <w:b/>
          <w:kern w:val="2"/>
          <w:lang w:val="en-US" w:eastAsia="zh-CN"/>
        </w:rPr>
        <w:fldChar w:fldCharType="begin"/>
      </w:r>
      <w:r>
        <w:rPr>
          <w:rFonts w:hint="eastAsia"/>
          <w:b/>
          <w:kern w:val="2"/>
          <w:lang w:val="en-US" w:eastAsia="zh-CN"/>
        </w:rPr>
        <w:instrText xml:space="preserve"> HYPERLINK "https://www.3gpp.org//Specification-Groups/" \t "https://www.3gpp.org/_blank" </w:instrText>
      </w:r>
      <w:r>
        <w:rPr>
          <w:rFonts w:hint="eastAsia"/>
          <w:b/>
          <w:kern w:val="2"/>
          <w:lang w:val="en-US" w:eastAsia="zh-CN"/>
        </w:rPr>
        <w:fldChar w:fldCharType="separate"/>
      </w:r>
      <w:r>
        <w:rPr>
          <w:rFonts w:hint="default"/>
          <w:b/>
          <w:kern w:val="2"/>
          <w:lang w:val="en-US" w:eastAsia="zh-CN"/>
        </w:rPr>
        <w:t>Orlando</w:t>
      </w:r>
      <w:r>
        <w:rPr>
          <w:rFonts w:hint="default"/>
          <w:b/>
          <w:kern w:val="2"/>
          <w:lang w:val="en-US" w:eastAsia="zh-CN"/>
        </w:rPr>
        <w:fldChar w:fldCharType="end"/>
      </w:r>
      <w:r>
        <w:rPr>
          <w:b/>
          <w:kern w:val="2"/>
          <w:lang w:eastAsia="zh-CN"/>
        </w:rPr>
        <w:t xml:space="preserve">, </w:t>
      </w:r>
      <w:r>
        <w:rPr>
          <w:rFonts w:hint="eastAsia"/>
          <w:b/>
          <w:kern w:val="2"/>
          <w:lang w:val="en-US" w:eastAsia="zh-CN"/>
        </w:rPr>
        <w:t>America</w:t>
      </w:r>
      <w:r>
        <w:rPr>
          <w:b/>
          <w:kern w:val="2"/>
          <w:lang w:eastAsia="zh-CN"/>
        </w:rPr>
        <w:t xml:space="preserve">, </w:t>
      </w:r>
      <w:r>
        <w:rPr>
          <w:rFonts w:hint="eastAsia"/>
          <w:b/>
          <w:kern w:val="2"/>
          <w:lang w:val="en-US" w:eastAsia="zh-CN"/>
        </w:rPr>
        <w:t>18</w:t>
      </w:r>
      <w:r>
        <w:rPr>
          <w:b/>
          <w:kern w:val="2"/>
          <w:lang w:eastAsia="zh-CN"/>
        </w:rPr>
        <w:t>-2</w:t>
      </w:r>
      <w:r>
        <w:rPr>
          <w:rFonts w:hint="eastAsia"/>
          <w:b/>
          <w:kern w:val="2"/>
          <w:lang w:val="en-US" w:eastAsia="zh-CN"/>
        </w:rPr>
        <w:t>2</w:t>
      </w:r>
      <w:r>
        <w:rPr>
          <w:b/>
          <w:kern w:val="2"/>
          <w:lang w:eastAsia="zh-CN"/>
        </w:rPr>
        <w:t xml:space="preserve"> </w:t>
      </w:r>
      <w:r>
        <w:rPr>
          <w:rFonts w:hint="eastAsia"/>
          <w:b/>
          <w:kern w:val="2"/>
          <w:lang w:val="en-US" w:eastAsia="zh-CN"/>
        </w:rPr>
        <w:t>Nov</w:t>
      </w:r>
      <w:r>
        <w:rPr>
          <w:b/>
          <w:kern w:val="2"/>
          <w:lang w:eastAsia="zh-CN"/>
        </w:rPr>
        <w:t>, 202</w:t>
      </w:r>
      <w:r>
        <w:rPr>
          <w:rFonts w:hint="eastAsia"/>
          <w:b/>
          <w:kern w:val="2"/>
          <w:lang w:val="en-US" w:eastAsia="zh-CN"/>
        </w:rPr>
        <w:t>4</w:t>
      </w:r>
    </w:p>
    <w:p w14:paraId="636696B0">
      <w:pPr>
        <w:pBdr>
          <w:top w:val="single" w:color="auto" w:sz="4" w:space="1"/>
        </w:pBdr>
        <w:spacing w:after="0"/>
        <w:rPr>
          <w:b/>
          <w:kern w:val="2"/>
          <w:sz w:val="16"/>
          <w:szCs w:val="16"/>
          <w:lang w:eastAsia="zh-CN"/>
        </w:rPr>
      </w:pPr>
    </w:p>
    <w:p w14:paraId="54559255">
      <w:pPr>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9.2.2</w:t>
      </w:r>
    </w:p>
    <w:p w14:paraId="7AA512EC">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1D4A846">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CSI enhancements</w:t>
      </w:r>
    </w:p>
    <w:p w14:paraId="2D797308">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7D3F9230">
      <w:pPr>
        <w:pBdr>
          <w:bottom w:val="single" w:color="auto" w:sz="4" w:space="1"/>
        </w:pBdr>
        <w:spacing w:after="0"/>
        <w:rPr>
          <w:b/>
          <w:kern w:val="2"/>
          <w:sz w:val="16"/>
          <w:szCs w:val="16"/>
          <w:lang w:eastAsia="zh-CN"/>
        </w:rPr>
      </w:pPr>
    </w:p>
    <w:p w14:paraId="2D7B334F">
      <w:pPr>
        <w:pStyle w:val="2"/>
      </w:pPr>
      <w:bookmarkStart w:id="0" w:name="_Ref124589705"/>
      <w:bookmarkStart w:id="1" w:name="_Ref129681862"/>
      <w:r>
        <w:t>Introduction</w:t>
      </w:r>
      <w:bookmarkEnd w:id="0"/>
      <w:bookmarkEnd w:id="1"/>
    </w:p>
    <w:p w14:paraId="73DFBA0D">
      <w:pPr>
        <w:rPr>
          <w:rFonts w:hint="default" w:eastAsia="宋体"/>
          <w:lang w:val="en-US" w:eastAsia="zh-CN"/>
        </w:rPr>
      </w:pPr>
      <w:r>
        <w:rPr>
          <w:rFonts w:hint="default" w:eastAsia="宋体"/>
          <w:lang w:val="en-US" w:eastAsia="zh-CN"/>
        </w:rPr>
        <w:t>In the last meeting, significant progress was made on enhancing CSI acquisition to support up to 128 CSI-RS ports on FR1, along with UE reporting refinement for CJT, with agreements reached [1]. In this contribution, we provide our views on UE reporting enhancements for CJT.</w:t>
      </w:r>
      <w:bookmarkStart w:id="6" w:name="_GoBack"/>
      <w:bookmarkEnd w:id="6"/>
    </w:p>
    <w:p w14:paraId="00EA0E99">
      <w:pPr>
        <w:rPr>
          <w:rFonts w:hint="default" w:eastAsia="宋体"/>
          <w:lang w:val="en-US" w:eastAsia="zh-CN"/>
        </w:rPr>
      </w:pPr>
    </w:p>
    <w:p w14:paraId="2A0EE0D1">
      <w:pPr>
        <w:pStyle w:val="2"/>
        <w:rPr>
          <w:lang w:eastAsia="zh-CN"/>
        </w:rPr>
      </w:pPr>
      <w:r>
        <w:rPr>
          <w:rFonts w:hint="eastAsia"/>
          <w:lang w:val="en-US" w:eastAsia="zh-CN"/>
        </w:rPr>
        <w:t>UE reporting refinement for CJT</w:t>
      </w:r>
    </w:p>
    <w:p w14:paraId="70C608EE">
      <w:pPr>
        <w:rPr>
          <w:lang w:eastAsia="zh-CN"/>
        </w:rPr>
      </w:pP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14:paraId="2B35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14:paraId="7AEA2AF7">
            <w:pPr>
              <w:rPr>
                <w:b/>
                <w:bCs/>
                <w:lang w:val="en-US"/>
              </w:rPr>
            </w:pPr>
            <w:bookmarkStart w:id="2" w:name="_Ref129681832"/>
            <w:r>
              <w:rPr>
                <w:b/>
                <w:bCs/>
                <w:highlight w:val="green"/>
                <w:lang w:val="en-US"/>
              </w:rPr>
              <w:t>Agreement</w:t>
            </w:r>
          </w:p>
          <w:p w14:paraId="62FB5D55">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038639D">
            <w:pPr>
              <w:numPr>
                <w:ilvl w:val="0"/>
                <w:numId w:val="6"/>
              </w:numPr>
              <w:snapToGrid w:val="0"/>
              <w:rPr>
                <w:rFonts w:eastAsia="宋体"/>
              </w:rPr>
            </w:pPr>
            <w:r>
              <w:rPr>
                <w:rFonts w:eastAsia="宋体"/>
              </w:rPr>
              <w:t xml:space="preserve">The two separately configured reports (i.e. Rel-18 eType-II CJT CSI report and the CJTC delay offset report) can be separately or jointly triggered </w:t>
            </w:r>
            <w:r>
              <w:rPr>
                <w:rFonts w:eastAsia="宋体"/>
                <w:highlight w:val="none"/>
              </w:rPr>
              <w:t>[and carried on a same PUSCH (hence on a same slot)]</w:t>
            </w:r>
            <w:r>
              <w:rPr>
                <w:rFonts w:eastAsia="宋体"/>
              </w:rPr>
              <w:t xml:space="preserve"> following legacy joint triggering mechanism</w:t>
            </w:r>
          </w:p>
          <w:p w14:paraId="6E5260CA">
            <w:pPr>
              <w:numPr>
                <w:ilvl w:val="1"/>
                <w:numId w:val="6"/>
              </w:numPr>
              <w:snapToGrid w:val="0"/>
              <w:rPr>
                <w:rFonts w:eastAsia="宋体"/>
              </w:rPr>
            </w:pPr>
            <w:r>
              <w:rPr>
                <w:rFonts w:eastAsia="宋体"/>
                <w:bCs/>
              </w:rPr>
              <w:t>(</w:t>
            </w:r>
            <w:r>
              <w:rPr>
                <w:rFonts w:eastAsia="宋体"/>
                <w:bCs/>
                <w:highlight w:val="darkYellow"/>
              </w:rPr>
              <w:t>Working Assumption</w:t>
            </w:r>
            <w:r>
              <w:rPr>
                <w:rFonts w:eastAsia="宋体"/>
                <w:bCs/>
              </w:rPr>
              <w:t xml:space="preserve">) When separately triggered, the delay offset value to be compensated is the latest reported delay offset (DO) whose reporting instance’s last symbol is before the first symbol of </w:t>
            </w:r>
            <w:r>
              <w:rPr>
                <w:rFonts w:eastAsia="宋体"/>
                <w:bCs/>
                <w:szCs w:val="22"/>
              </w:rPr>
              <w:t>DCI triggering of</w:t>
            </w:r>
            <w:r>
              <w:rPr>
                <w:rFonts w:eastAsia="宋体"/>
                <w:bCs/>
              </w:rPr>
              <w:t xml:space="preserve"> the CJT CSI reporting</w:t>
            </w:r>
          </w:p>
          <w:p w14:paraId="69580EA8">
            <w:pPr>
              <w:numPr>
                <w:ilvl w:val="2"/>
                <w:numId w:val="6"/>
              </w:numPr>
              <w:snapToGrid w:val="0"/>
              <w:rPr>
                <w:rFonts w:eastAsia="宋体"/>
              </w:rPr>
            </w:pPr>
            <w:r>
              <w:rPr>
                <w:rFonts w:eastAsia="宋体"/>
              </w:rPr>
              <w:t>FFS: whether some expiration time interval is needed</w:t>
            </w:r>
          </w:p>
          <w:p w14:paraId="723724CF">
            <w:pPr>
              <w:numPr>
                <w:ilvl w:val="1"/>
                <w:numId w:val="6"/>
              </w:numPr>
              <w:snapToGrid w:val="0"/>
              <w:rPr>
                <w:rFonts w:eastAsia="宋体"/>
              </w:rPr>
            </w:pPr>
            <w:r>
              <w:rPr>
                <w:rFonts w:eastAsia="宋体"/>
                <w:bCs/>
              </w:rPr>
              <w:t>(</w:t>
            </w:r>
            <w:r>
              <w:rPr>
                <w:rFonts w:eastAsia="宋体"/>
                <w:bCs/>
                <w:highlight w:val="darkYellow"/>
              </w:rPr>
              <w:t>Working Assumption</w:t>
            </w:r>
            <w:r>
              <w:rPr>
                <w:rFonts w:eastAsia="宋体"/>
                <w:bCs/>
              </w:rPr>
              <w:t xml:space="preserve">) When jointly triggered, the delay offset value to be compensated is the reported delay offset (DO) in the same reporting instance </w:t>
            </w:r>
          </w:p>
          <w:p w14:paraId="488C1AFA">
            <w:pPr>
              <w:snapToGrid w:val="0"/>
              <w:rPr>
                <w:sz w:val="22"/>
              </w:rPr>
            </w:pPr>
            <w:r>
              <w:t>FFS: NW indicates the delay offset value to be compensated for the Rel-18 eType-II CJT CSI report</w:t>
            </w:r>
          </w:p>
          <w:p w14:paraId="41F3B360">
            <w:pPr>
              <w:snapToGrid w:val="0"/>
            </w:pPr>
            <w:r>
              <w:t xml:space="preserve">FFS: </w:t>
            </w:r>
            <w:r>
              <w:rPr>
                <w:color w:val="auto"/>
                <w:highlight w:val="none"/>
              </w:rPr>
              <w:t>Whether only AP-CSI-RS,</w:t>
            </w:r>
            <w:r>
              <w:t xml:space="preserve"> or any type of CSI-RS (P, SP, or AP) can be configured as the CMR for the Rel-18 eType-II CJT reporting </w:t>
            </w:r>
          </w:p>
          <w:p w14:paraId="3D353973">
            <w:pPr>
              <w:snapToGrid w:val="0"/>
            </w:pPr>
            <w:r>
              <w:t xml:space="preserve">FFS: Support for SP-CSI for CJTC report </w:t>
            </w:r>
          </w:p>
          <w:p w14:paraId="3DE9C6DF">
            <w:pPr>
              <w:snapToGrid w:val="0"/>
            </w:pPr>
            <w:r>
              <w:t>FFS: Whether this is also applicable for Rel-19 Type-I MP codebook</w:t>
            </w:r>
          </w:p>
          <w:p w14:paraId="4C7F2789">
            <w:pPr>
              <w:snapToGrid w:val="0"/>
            </w:pPr>
            <w:r>
              <w:t>The above only applies when the CMRs do not share common QCL source for average delay indication</w:t>
            </w:r>
          </w:p>
          <w:p w14:paraId="453F199F">
            <w:pPr>
              <w:snapToGrid w:val="0"/>
            </w:pPr>
            <w:r>
              <w:t>The above is UE optional feature.</w:t>
            </w:r>
          </w:p>
          <w:p w14:paraId="08D9EAD3">
            <w:pPr>
              <w:widowControl w:val="0"/>
              <w:snapToGrid w:val="0"/>
              <w:jc w:val="both"/>
              <w:rPr>
                <w:rFonts w:hint="eastAsia" w:cs="Times" w:eastAsiaTheme="minorEastAsia"/>
                <w:b/>
                <w:szCs w:val="20"/>
                <w:highlight w:val="green"/>
                <w:lang w:eastAsia="ko-KR"/>
              </w:rPr>
            </w:pPr>
          </w:p>
          <w:p w14:paraId="292EDF09">
            <w:pPr>
              <w:widowControl w:val="0"/>
              <w:snapToGrid w:val="0"/>
              <w:jc w:val="both"/>
              <w:rPr>
                <w:rFonts w:cs="Times" w:eastAsiaTheme="minorEastAsia"/>
                <w:b/>
                <w:szCs w:val="20"/>
                <w:lang w:eastAsia="ko-KR"/>
              </w:rPr>
            </w:pPr>
            <w:r>
              <w:rPr>
                <w:rFonts w:hint="eastAsia" w:cs="Times" w:eastAsiaTheme="minorEastAsia"/>
                <w:b/>
                <w:szCs w:val="20"/>
                <w:highlight w:val="green"/>
                <w:lang w:eastAsia="ko-KR"/>
              </w:rPr>
              <w:t>Agreement</w:t>
            </w:r>
          </w:p>
          <w:p w14:paraId="04AC9EFB">
            <w:pPr>
              <w:widowControl w:val="0"/>
              <w:jc w:val="both"/>
              <w:rPr>
                <w:rFonts w:cs="Times"/>
                <w:szCs w:val="20"/>
              </w:rPr>
            </w:pPr>
            <w:r>
              <w:rPr>
                <w:rFonts w:eastAsia="Calibri"/>
                <w:szCs w:val="20"/>
              </w:rPr>
              <w:t xml:space="preserve">For the Rel-19 aperiodic standalone CJT calibration (CJTC) reporting, </w:t>
            </w:r>
            <w:r>
              <w:rPr>
                <w:rFonts w:cs="Times"/>
                <w:szCs w:val="20"/>
              </w:rPr>
              <w:t>when linking CJTC Dd and Rel-18 eType-II CJT CSI reports is configured, confirm the following working assumptions as agreement with the following</w:t>
            </w:r>
            <w:r>
              <w:rPr>
                <w:rFonts w:cs="Times"/>
                <w:color w:val="auto"/>
                <w:szCs w:val="20"/>
              </w:rPr>
              <w:t xml:space="preserve"> refinement:</w:t>
            </w:r>
          </w:p>
          <w:p w14:paraId="6D5BBE13">
            <w:pPr>
              <w:pStyle w:val="43"/>
              <w:widowControl w:val="0"/>
              <w:numPr>
                <w:ilvl w:val="0"/>
                <w:numId w:val="6"/>
              </w:numPr>
              <w:ind w:leftChars="0"/>
              <w:contextualSpacing/>
              <w:jc w:val="both"/>
              <w:rPr>
                <w:rFonts w:eastAsia="等线"/>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pPr>
              <w:pStyle w:val="43"/>
              <w:widowControl w:val="0"/>
              <w:numPr>
                <w:ilvl w:val="0"/>
                <w:numId w:val="6"/>
              </w:numPr>
              <w:ind w:leftChars="0"/>
              <w:contextualSpacing/>
              <w:jc w:val="both"/>
              <w:rPr>
                <w:rFonts w:eastAsia="等线"/>
                <w:bCs/>
                <w:szCs w:val="20"/>
                <w:lang w:eastAsia="zh-CN"/>
              </w:rPr>
            </w:pPr>
            <w:r>
              <w:rPr>
                <w:rFonts w:eastAsia="等线"/>
                <w:bCs/>
                <w:szCs w:val="20"/>
                <w:lang w:eastAsia="zh-CN"/>
              </w:rPr>
              <w:t xml:space="preserve">When </w:t>
            </w:r>
            <w:r>
              <w:rPr>
                <w:bCs/>
                <w:szCs w:val="20"/>
              </w:rPr>
              <w:t>jointly triggered, the delay offset value to be compensated is the reported delay offset (DO) in the same reporting instance</w:t>
            </w:r>
          </w:p>
          <w:p w14:paraId="2303AFD1">
            <w:pPr>
              <w:widowControl w:val="0"/>
              <w:jc w:val="both"/>
              <w:rPr>
                <w:rFonts w:eastAsia="等线"/>
                <w:bCs/>
                <w:color w:val="auto"/>
                <w:szCs w:val="20"/>
                <w:lang w:eastAsia="zh-CN"/>
              </w:rPr>
            </w:pPr>
            <w:r>
              <w:rPr>
                <w:rFonts w:eastAsia="等线"/>
                <w:bCs/>
                <w:color w:val="auto"/>
                <w:szCs w:val="20"/>
                <w:lang w:eastAsia="zh-CN"/>
              </w:rPr>
              <w:t>FFS: Whether an additional UE procedure is needed when the reported DO value is ‘out of range’</w:t>
            </w:r>
          </w:p>
          <w:p w14:paraId="147D2082">
            <w:pPr>
              <w:widowControl w:val="0"/>
              <w:jc w:val="both"/>
              <w:rPr>
                <w:rFonts w:hint="eastAsia" w:eastAsia="宋体" w:cs="Times"/>
                <w:lang w:val="en-GB" w:eastAsia="zh-CN"/>
              </w:rPr>
            </w:pPr>
            <w:r>
              <w:rPr>
                <w:rFonts w:eastAsia="等线"/>
                <w:bCs/>
                <w:color w:val="auto"/>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tc>
      </w:tr>
      <w:tr w14:paraId="4A19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6D99EE32">
            <w:pPr>
              <w:widowControl w:val="0"/>
              <w:rPr>
                <w:sz w:val="18"/>
                <w:szCs w:val="18"/>
              </w:rPr>
            </w:pPr>
          </w:p>
        </w:tc>
      </w:tr>
      <w:tr w14:paraId="56669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14:paraId="3A43E124">
            <w:pPr>
              <w:widowControl w:val="0"/>
              <w:rPr>
                <w:sz w:val="18"/>
                <w:szCs w:val="18"/>
              </w:rPr>
            </w:pPr>
          </w:p>
        </w:tc>
      </w:tr>
    </w:tbl>
    <w:p w14:paraId="6FD2C1DF">
      <w:pPr>
        <w:rPr>
          <w:lang w:eastAsia="zh-CN"/>
        </w:rPr>
      </w:pPr>
    </w:p>
    <w:p w14:paraId="72C7DD6F">
      <w:pPr>
        <w:pStyle w:val="15"/>
        <w:jc w:val="both"/>
        <w:rPr>
          <w:rFonts w:hint="eastAsia" w:eastAsia="宋体"/>
          <w:sz w:val="22"/>
          <w:szCs w:val="22"/>
          <w:lang w:val="en-US" w:eastAsia="zh-CN"/>
        </w:rPr>
      </w:pPr>
      <w:r>
        <w:rPr>
          <w:rFonts w:hint="eastAsia" w:eastAsia="Batang"/>
          <w:sz w:val="22"/>
          <w:szCs w:val="22"/>
          <w:lang w:val="en-US" w:eastAsia="zh-CN"/>
        </w:rPr>
        <w:t xml:space="preserve">When </w:t>
      </w:r>
      <w:r>
        <w:rPr>
          <w:rFonts w:eastAsia="Batang"/>
          <w:sz w:val="22"/>
          <w:szCs w:val="22"/>
          <w:lang w:val="en-GB"/>
        </w:rPr>
        <w:t>linking CJTC Dd an</w:t>
      </w:r>
      <w:r>
        <w:rPr>
          <w:rFonts w:eastAsia="Batang"/>
          <w:sz w:val="22"/>
          <w:szCs w:val="22"/>
          <w:lang w:val="en-GB"/>
        </w:rPr>
        <w:t>d Rel-18 eType-II CJT CSI reports is configured</w:t>
      </w:r>
      <w:r>
        <w:rPr>
          <w:rFonts w:hint="eastAsia" w:eastAsia="宋体"/>
          <w:sz w:val="22"/>
          <w:szCs w:val="22"/>
          <w:lang w:val="en-US" w:eastAsia="zh-CN"/>
        </w:rPr>
        <w:t xml:space="preserve">, if at least one of the DO value is </w:t>
      </w:r>
      <w:r>
        <w:rPr>
          <w:rFonts w:hint="default" w:eastAsia="宋体"/>
          <w:sz w:val="22"/>
          <w:szCs w:val="22"/>
          <w:lang w:val="en-US" w:eastAsia="zh-CN"/>
        </w:rPr>
        <w:t>‘</w:t>
      </w:r>
      <w:r>
        <w:rPr>
          <w:rFonts w:hint="eastAsia" w:eastAsia="宋体"/>
          <w:sz w:val="22"/>
          <w:szCs w:val="22"/>
          <w:lang w:val="en-US" w:eastAsia="zh-CN"/>
        </w:rPr>
        <w:t>out of range</w:t>
      </w:r>
      <w:r>
        <w:rPr>
          <w:rFonts w:hint="default" w:eastAsia="宋体"/>
          <w:sz w:val="22"/>
          <w:szCs w:val="22"/>
          <w:lang w:val="en-US" w:eastAsia="zh-CN"/>
        </w:rPr>
        <w:t>’</w:t>
      </w:r>
      <w:r>
        <w:rPr>
          <w:rFonts w:hint="eastAsia" w:eastAsia="宋体"/>
          <w:sz w:val="22"/>
          <w:szCs w:val="22"/>
          <w:lang w:val="en-US" w:eastAsia="zh-CN"/>
        </w:rPr>
        <w:t xml:space="preserve">, the NW cannot determine how to use these </w:t>
      </w:r>
      <w:r>
        <w:rPr>
          <w:rFonts w:hint="default" w:eastAsia="宋体"/>
          <w:sz w:val="22"/>
          <w:szCs w:val="22"/>
          <w:lang w:val="en-US" w:eastAsia="zh-CN"/>
        </w:rPr>
        <w:t>‘</w:t>
      </w:r>
      <w:r>
        <w:rPr>
          <w:rFonts w:hint="eastAsia" w:eastAsia="宋体"/>
          <w:sz w:val="22"/>
          <w:szCs w:val="22"/>
          <w:lang w:val="en-US" w:eastAsia="zh-CN"/>
        </w:rPr>
        <w:t>out of range</w:t>
      </w:r>
      <w:r>
        <w:rPr>
          <w:rFonts w:hint="default" w:eastAsia="宋体"/>
          <w:sz w:val="22"/>
          <w:szCs w:val="22"/>
          <w:lang w:val="en-US" w:eastAsia="zh-CN"/>
        </w:rPr>
        <w:t>’</w:t>
      </w:r>
      <w:r>
        <w:rPr>
          <w:rFonts w:hint="eastAsia" w:eastAsia="宋体"/>
          <w:sz w:val="22"/>
          <w:szCs w:val="22"/>
          <w:lang w:val="en-US" w:eastAsia="zh-CN"/>
        </w:rPr>
        <w:t xml:space="preserve"> values, which means that multi-TRP can not achieve synchronization based on the delay offset calibration. Obviously, the performance of the CJT would be </w:t>
      </w:r>
      <w:r>
        <w:rPr>
          <w:rFonts w:hint="eastAsia" w:eastAsia="宋体"/>
          <w:sz w:val="22"/>
          <w:szCs w:val="22"/>
          <w:lang w:val="en-US" w:eastAsia="zh-CN"/>
        </w:rPr>
        <w:t>compromised</w:t>
      </w:r>
      <w:r>
        <w:rPr>
          <w:rFonts w:hint="eastAsia" w:eastAsia="宋体"/>
          <w:sz w:val="22"/>
          <w:szCs w:val="22"/>
          <w:lang w:val="en-US" w:eastAsia="zh-CN"/>
        </w:rPr>
        <w:t xml:space="preserve">. Therefore, we believe that the </w:t>
      </w:r>
      <w:r>
        <w:rPr>
          <w:rFonts w:hint="default" w:eastAsia="宋体"/>
          <w:sz w:val="22"/>
          <w:szCs w:val="22"/>
          <w:lang w:val="en-US" w:eastAsia="zh-CN"/>
        </w:rPr>
        <w:t>‘</w:t>
      </w:r>
      <w:r>
        <w:rPr>
          <w:rFonts w:hint="eastAsia" w:eastAsia="宋体"/>
          <w:sz w:val="22"/>
          <w:szCs w:val="22"/>
          <w:lang w:val="en-US" w:eastAsia="zh-CN"/>
        </w:rPr>
        <w:t>out of range</w:t>
      </w:r>
      <w:r>
        <w:rPr>
          <w:rFonts w:hint="default" w:eastAsia="宋体"/>
          <w:sz w:val="22"/>
          <w:szCs w:val="22"/>
          <w:lang w:val="en-US" w:eastAsia="zh-CN"/>
        </w:rPr>
        <w:t>’</w:t>
      </w:r>
      <w:r>
        <w:rPr>
          <w:rFonts w:hint="eastAsia" w:eastAsia="宋体"/>
          <w:sz w:val="22"/>
          <w:szCs w:val="22"/>
          <w:lang w:val="en-US" w:eastAsia="zh-CN"/>
        </w:rPr>
        <w:t xml:space="preserve"> values corresponding to the TRP should not participate in CJT. Based on </w:t>
      </w:r>
      <w:r>
        <w:rPr>
          <w:rFonts w:hint="eastAsia" w:eastAsia="宋体"/>
          <w:sz w:val="22"/>
          <w:szCs w:val="22"/>
          <w:lang w:val="en-US" w:eastAsia="zh-CN"/>
        </w:rPr>
        <w:t xml:space="preserve">the above </w:t>
      </w:r>
      <w:r>
        <w:rPr>
          <w:rFonts w:hint="eastAsia"/>
          <w:sz w:val="22"/>
          <w:szCs w:val="22"/>
          <w:lang w:val="en-US" w:eastAsia="zh-CN"/>
        </w:rPr>
        <w:t>analysis</w:t>
      </w:r>
      <w:r>
        <w:rPr>
          <w:rFonts w:hint="eastAsia" w:eastAsia="宋体"/>
          <w:sz w:val="22"/>
          <w:szCs w:val="22"/>
          <w:lang w:val="en-US" w:eastAsia="zh-CN"/>
        </w:rPr>
        <w:t xml:space="preserve">, we suggest that linking CJTC Dd and </w:t>
      </w:r>
      <w:r>
        <w:rPr>
          <w:rFonts w:hint="default" w:eastAsia="宋体"/>
          <w:sz w:val="22"/>
          <w:szCs w:val="22"/>
          <w:lang w:val="en-US" w:eastAsia="zh-CN"/>
        </w:rPr>
        <w:t>Rel-18 eType-II CJT CSI reports</w:t>
      </w:r>
      <w:r>
        <w:rPr>
          <w:rFonts w:hint="eastAsia" w:eastAsia="宋体"/>
          <w:sz w:val="22"/>
          <w:szCs w:val="22"/>
          <w:lang w:val="en-US" w:eastAsia="zh-CN"/>
        </w:rPr>
        <w:t xml:space="preserve"> </w:t>
      </w:r>
      <w:r>
        <w:rPr>
          <w:rFonts w:hint="eastAsia"/>
          <w:sz w:val="22"/>
          <w:szCs w:val="22"/>
          <w:lang w:val="en-US" w:eastAsia="zh-CN"/>
        </w:rPr>
        <w:t xml:space="preserve">should only </w:t>
      </w:r>
      <w:r>
        <w:rPr>
          <w:rFonts w:hint="eastAsia" w:eastAsia="宋体"/>
          <w:sz w:val="22"/>
          <w:szCs w:val="22"/>
          <w:lang w:val="en-US" w:eastAsia="zh-CN"/>
        </w:rPr>
        <w:t>be configured when the high</w:t>
      </w:r>
      <w:r>
        <w:rPr>
          <w:rFonts w:hint="eastAsia"/>
          <w:sz w:val="22"/>
          <w:szCs w:val="22"/>
          <w:lang w:val="en-US" w:eastAsia="zh-CN"/>
        </w:rPr>
        <w:t>-</w:t>
      </w:r>
      <w:r>
        <w:rPr>
          <w:rFonts w:hint="eastAsia" w:eastAsia="宋体"/>
          <w:sz w:val="22"/>
          <w:szCs w:val="22"/>
          <w:lang w:val="en-US" w:eastAsia="zh-CN"/>
        </w:rPr>
        <w:t xml:space="preserve">layer parameter </w:t>
      </w:r>
      <w:r>
        <w:rPr>
          <w:rFonts w:hint="eastAsia" w:eastAsia="宋体"/>
          <w:i/>
          <w:iCs/>
          <w:sz w:val="22"/>
          <w:szCs w:val="22"/>
          <w:lang w:val="en-US" w:eastAsia="zh-CN"/>
        </w:rPr>
        <w:t>restrictedCMR-Selection</w:t>
      </w:r>
      <w:r>
        <w:rPr>
          <w:rFonts w:hint="eastAsia" w:eastAsia="宋体"/>
          <w:sz w:val="22"/>
          <w:szCs w:val="22"/>
          <w:lang w:val="en-US" w:eastAsia="zh-CN"/>
        </w:rPr>
        <w:t xml:space="preserve"> is not configured. </w:t>
      </w:r>
    </w:p>
    <w:p w14:paraId="5FE086AD">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GB" w:eastAsia="en-US"/>
        </w:rPr>
      </w:pPr>
      <w:r>
        <w:rPr>
          <w:rFonts w:hint="eastAsia"/>
          <w:b/>
          <w:i/>
          <w:sz w:val="22"/>
          <w:szCs w:val="22"/>
          <w:highlight w:val="none"/>
          <w:lang w:val="en-US" w:eastAsia="zh-CN"/>
        </w:rPr>
        <w:t xml:space="preserve">: For the Rel-19 aperiodic standalone CJT calibration (CJTC) reporting, when linking CJTC Dd and Rel-18 eType-II CJT CSI reports is configured, the </w:t>
      </w:r>
      <w:r>
        <w:rPr>
          <w:rFonts w:hint="eastAsia"/>
          <w:b/>
          <w:i/>
          <w:sz w:val="22"/>
          <w:szCs w:val="22"/>
          <w:highlight w:val="none"/>
          <w:lang w:val="en-US" w:eastAsia="zh-CN"/>
        </w:rPr>
        <w:t xml:space="preserve">high layer parameter restrictedCMR-Selection should not be configured. </w:t>
      </w:r>
    </w:p>
    <w:p w14:paraId="673FE7D9">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sz w:val="22"/>
          <w:szCs w:val="22"/>
          <w:lang w:val="en-US" w:eastAsia="zh-CN"/>
        </w:rPr>
      </w:pPr>
      <w:r>
        <w:rPr>
          <w:rFonts w:hint="eastAsia"/>
          <w:sz w:val="22"/>
          <w:szCs w:val="22"/>
          <w:lang w:val="en-US" w:eastAsia="zh-CN"/>
        </w:rPr>
        <w:t>：</w:t>
      </w:r>
      <w:r>
        <w:rPr>
          <w:rFonts w:hint="eastAsia"/>
          <w:i/>
          <w:iCs/>
          <w:sz w:val="22"/>
          <w:szCs w:val="22"/>
          <w:lang w:val="en-US" w:eastAsia="zh-CN"/>
        </w:rPr>
        <w:t xml:space="preserve">For the Rel-19 aperiodic standalone CJT calibration (CJTC) reporting, when linking CJTC Dd and Rel-18 eType-II CJT CSI reports is configured, if the DO value is </w:t>
      </w:r>
      <w:r>
        <w:rPr>
          <w:rFonts w:hint="default"/>
          <w:i/>
          <w:iCs/>
          <w:sz w:val="22"/>
          <w:szCs w:val="22"/>
          <w:lang w:val="en-US" w:eastAsia="zh-CN"/>
        </w:rPr>
        <w:t>‘</w:t>
      </w:r>
      <w:r>
        <w:rPr>
          <w:rFonts w:hint="eastAsia"/>
          <w:i/>
          <w:iCs/>
          <w:sz w:val="22"/>
          <w:szCs w:val="22"/>
          <w:lang w:val="en-US" w:eastAsia="zh-CN"/>
        </w:rPr>
        <w:t>out of range</w:t>
      </w:r>
      <w:r>
        <w:rPr>
          <w:rFonts w:hint="default"/>
          <w:i/>
          <w:iCs/>
          <w:sz w:val="22"/>
          <w:szCs w:val="22"/>
          <w:lang w:val="en-US" w:eastAsia="zh-CN"/>
        </w:rPr>
        <w:t>’</w:t>
      </w:r>
      <w:r>
        <w:rPr>
          <w:rFonts w:hint="eastAsia"/>
          <w:i/>
          <w:iCs/>
          <w:sz w:val="22"/>
          <w:szCs w:val="22"/>
          <w:lang w:val="en-US" w:eastAsia="zh-CN"/>
        </w:rPr>
        <w:t xml:space="preserve"> the correspond TRP will not participate in CJT. </w:t>
      </w:r>
    </w:p>
    <w:p w14:paraId="69C2214F">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Moreover, when the linkage mechanism is configured, we don</w:t>
      </w:r>
      <w:r>
        <w:rPr>
          <w:rFonts w:hint="default" w:cs="Times New Roman"/>
          <w:b w:val="0"/>
          <w:bCs w:val="0"/>
          <w:sz w:val="22"/>
          <w:szCs w:val="22"/>
          <w:lang w:val="en-US" w:eastAsia="zh-CN" w:bidi="ar-SA"/>
        </w:rPr>
        <w:t>’</w:t>
      </w:r>
      <w:r>
        <w:rPr>
          <w:rFonts w:hint="eastAsia" w:cs="Times New Roman"/>
          <w:b w:val="0"/>
          <w:bCs w:val="0"/>
          <w:sz w:val="22"/>
          <w:szCs w:val="22"/>
          <w:lang w:val="en-US" w:eastAsia="zh-CN" w:bidi="ar-SA"/>
        </w:rPr>
        <w:t xml:space="preserve">t need additional rules to determine the value of DO for the compensation of each CMR for the CJT CSI report, such as transforming intervals/ranges into values. We believe that this can be achieved through the implication of the </w:t>
      </w:r>
      <w:r>
        <w:rPr>
          <w:rFonts w:hint="eastAsia" w:cs="Times New Roman"/>
          <w:b w:val="0"/>
          <w:bCs w:val="0"/>
          <w:sz w:val="22"/>
          <w:szCs w:val="22"/>
          <w:lang w:val="en-US" w:eastAsia="zh-CN" w:bidi="ar-SA"/>
        </w:rPr>
        <w:t>NW</w:t>
      </w:r>
      <w:r>
        <w:rPr>
          <w:rFonts w:hint="eastAsia" w:cs="Times New Roman"/>
          <w:b w:val="0"/>
          <w:bCs w:val="0"/>
          <w:sz w:val="22"/>
          <w:szCs w:val="22"/>
          <w:lang w:val="en-US" w:eastAsia="zh-CN" w:bidi="ar-SA"/>
        </w:rPr>
        <w:t>.</w:t>
      </w:r>
    </w:p>
    <w:p w14:paraId="49CB41D5">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sz w:val="22"/>
          <w:szCs w:val="22"/>
          <w:lang w:val="en-US" w:eastAsia="zh-CN"/>
        </w:rPr>
        <w:t>：</w:t>
      </w:r>
      <w:r>
        <w:rPr>
          <w:rFonts w:hint="eastAsia"/>
          <w:i/>
          <w:iCs/>
          <w:sz w:val="22"/>
          <w:szCs w:val="22"/>
          <w:lang w:val="en-US" w:eastAsia="zh-CN"/>
        </w:rPr>
        <w:t>For the Rel-19 aperiodic standalone CJT calibration (CJTC) reporting, when linking CJTC Dd and Rel-18 eType-II CJT CSI reports is configured, or in general, the value of DO for the compensation for each CMR for CJT CSI report is determined by the NW.</w:t>
      </w:r>
    </w:p>
    <w:p w14:paraId="6204D3B1">
      <w:pPr>
        <w:widowControl w:val="0"/>
        <w:snapToGrid w:val="0"/>
        <w:rPr>
          <w:rFonts w:hint="eastAsia"/>
          <w:bCs/>
          <w:szCs w:val="20"/>
          <w:lang w:val="en-US" w:eastAsia="zh-CN"/>
        </w:rPr>
      </w:pPr>
      <w:r>
        <w:rPr>
          <w:rFonts w:hint="eastAsia"/>
          <w:szCs w:val="20"/>
          <w:lang w:val="en-US" w:eastAsia="zh-CN"/>
        </w:rPr>
        <w:t xml:space="preserve">When </w:t>
      </w:r>
      <w:r>
        <w:rPr>
          <w:rFonts w:eastAsia="Batang"/>
          <w:sz w:val="22"/>
          <w:szCs w:val="22"/>
          <w:lang w:val="en-GB"/>
        </w:rPr>
        <w:t>linking CJTC Dd and Rel-18 eType-II CJT CSI reports is configured</w:t>
      </w:r>
      <w:r>
        <w:rPr>
          <w:rFonts w:hint="eastAsia" w:eastAsia="宋体"/>
          <w:sz w:val="22"/>
          <w:szCs w:val="22"/>
          <w:lang w:val="en-US" w:eastAsia="zh-CN"/>
        </w:rPr>
        <w:t xml:space="preserve">, and if </w:t>
      </w:r>
      <w:r>
        <w:rPr>
          <w:bCs/>
          <w:szCs w:val="20"/>
        </w:rPr>
        <w:t>delay offset (DO)</w:t>
      </w:r>
      <w:r>
        <w:rPr>
          <w:rFonts w:hint="eastAsia"/>
          <w:bCs/>
          <w:szCs w:val="20"/>
          <w:lang w:val="en-US" w:eastAsia="zh-CN"/>
        </w:rPr>
        <w:t xml:space="preserve"> and CJT CSI are reported in the same reporting instance, the joint CSI can be divided into two parts: joint CSI part 1 and joint CSI part 2. The joint CSI part 1 is the same as legacy CJT CSI part 1,  and the delay offset information can be mapped into CJT CSI part 2 Group 0. Because when certain parameters are determined, such as Ntrp, </w:t>
      </w:r>
      <w:r>
        <w:rPr>
          <w:rFonts w:eastAsia="Calibri"/>
          <w:szCs w:val="20"/>
          <w:lang w:eastAsia="zh-CN"/>
        </w:rPr>
        <w:t>A</w:t>
      </w:r>
      <w:r>
        <w:rPr>
          <w:rFonts w:eastAsia="Calibri"/>
          <w:szCs w:val="20"/>
          <w:vertAlign w:val="subscript"/>
          <w:lang w:eastAsia="zh-CN"/>
        </w:rPr>
        <w:t>D</w:t>
      </w:r>
      <w:r>
        <w:rPr>
          <w:rFonts w:hint="eastAsia"/>
          <w:bCs/>
          <w:szCs w:val="20"/>
          <w:lang w:val="en-US" w:eastAsia="zh-CN"/>
        </w:rPr>
        <w:t xml:space="preserve">, and </w:t>
      </w:r>
      <w:r>
        <w:rPr>
          <w:rFonts w:eastAsia="Calibri"/>
          <w:szCs w:val="20"/>
          <w:lang w:eastAsia="zh-CN"/>
        </w:rPr>
        <w:t>M</w:t>
      </w:r>
      <w:r>
        <w:rPr>
          <w:rFonts w:eastAsia="Calibri"/>
          <w:szCs w:val="20"/>
          <w:vertAlign w:val="subscript"/>
          <w:lang w:eastAsia="zh-CN"/>
        </w:rPr>
        <w:t>D</w:t>
      </w:r>
      <w:r>
        <w:rPr>
          <w:rFonts w:hint="eastAsia"/>
          <w:bCs/>
          <w:szCs w:val="20"/>
          <w:lang w:val="en-US" w:eastAsia="zh-CN"/>
        </w:rPr>
        <w:t xml:space="preserve">, the bit overhead is fixed, and joint CSI part 1 can also be used to </w:t>
      </w:r>
      <w:r>
        <w:rPr>
          <w:color w:val="000000"/>
        </w:rPr>
        <w:t>identify the number of information bits in</w:t>
      </w:r>
      <w:r>
        <w:rPr>
          <w:rFonts w:hint="eastAsia"/>
          <w:color w:val="000000"/>
          <w:lang w:val="en-US" w:eastAsia="zh-CN"/>
        </w:rPr>
        <w:t xml:space="preserve"> joint CSI</w:t>
      </w:r>
      <w:r>
        <w:rPr>
          <w:color w:val="000000"/>
        </w:rPr>
        <w:t xml:space="preserve"> Part 2</w:t>
      </w:r>
      <w:r>
        <w:rPr>
          <w:rFonts w:hint="eastAsia"/>
          <w:color w:val="000000"/>
          <w:lang w:val="en-US" w:eastAsia="zh-CN"/>
        </w:rPr>
        <w:t>. As we know, the priority of Group 0 is higher than that of Group 1 and Group 2, which means that even if</w:t>
      </w:r>
      <w:r>
        <w:rPr>
          <w:rFonts w:hint="eastAsia"/>
          <w:bCs/>
          <w:szCs w:val="20"/>
          <w:lang w:val="en-US" w:eastAsia="zh-CN"/>
        </w:rPr>
        <w:t xml:space="preserve"> it loses some non-zero coefficients, the DO can still be used to compensate for the delay offset in the precoding for CJT. </w:t>
      </w:r>
    </w:p>
    <w:p w14:paraId="67686C0F">
      <w:pPr>
        <w:pStyle w:val="90"/>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sz w:val="22"/>
          <w:szCs w:val="22"/>
          <w:lang w:val="en-US" w:eastAsia="zh-CN"/>
        </w:rPr>
        <w:t>：</w:t>
      </w:r>
      <w:r>
        <w:rPr>
          <w:rFonts w:hint="eastAsia"/>
          <w:i/>
          <w:iCs/>
          <w:sz w:val="22"/>
          <w:szCs w:val="22"/>
          <w:lang w:val="en-US" w:eastAsia="zh-CN"/>
        </w:rPr>
        <w:t xml:space="preserve">For the Rel-19 aperiodic standalone CJT calibration (CJTC) reporting, when reporting DO and CJT CSI in the same reported instance, the DO should be mapped into part 2 Group 0. </w:t>
      </w:r>
    </w:p>
    <w:p w14:paraId="59B6CD6D">
      <w:pPr>
        <w:rPr>
          <w:rFonts w:hint="eastAsia"/>
          <w:b w:val="0"/>
          <w:bCs w:val="0"/>
          <w:szCs w:val="20"/>
          <w:lang w:val="en-US" w:eastAsia="zh-CN"/>
        </w:rPr>
      </w:pPr>
    </w:p>
    <w:p w14:paraId="5C8B0761">
      <w:pPr>
        <w:pStyle w:val="2"/>
      </w:pPr>
      <w:r>
        <w:t>Conclusions</w:t>
      </w:r>
    </w:p>
    <w:p w14:paraId="4A4F5AE2">
      <w:pPr>
        <w:rPr>
          <w:rFonts w:hint="eastAsia" w:eastAsia="宋体"/>
          <w:lang w:val="en-US" w:eastAsia="zh-CN"/>
        </w:rPr>
      </w:pPr>
      <w:r>
        <w:rPr>
          <w:kern w:val="2"/>
          <w:lang w:val="en-GB" w:eastAsia="zh-CN"/>
        </w:rPr>
        <w:t xml:space="preserve">This contribution provides our views on </w:t>
      </w:r>
      <w:r>
        <w:rPr>
          <w:rFonts w:hint="eastAsia"/>
          <w:lang w:val="en-US" w:eastAsia="zh-CN"/>
        </w:rPr>
        <w:t>UE reporting refinement for CJT</w:t>
      </w:r>
      <w:r>
        <w:t xml:space="preserve">. We have </w:t>
      </w:r>
      <w:r>
        <w:rPr>
          <w:rFonts w:hint="eastAsia"/>
          <w:lang w:val="en-US" w:eastAsia="zh-CN"/>
        </w:rPr>
        <w:t xml:space="preserve">the </w:t>
      </w:r>
      <w:r>
        <w:t>following proposals</w:t>
      </w:r>
      <w:r>
        <w:rPr>
          <w:rFonts w:hint="eastAsia"/>
          <w:lang w:val="en-US" w:eastAsia="zh-CN"/>
        </w:rPr>
        <w:t>:</w:t>
      </w:r>
    </w:p>
    <w:p w14:paraId="33528FF8">
      <w:pPr>
        <w:pStyle w:val="9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szCs w:val="20"/>
          <w:lang w:val="en-US" w:eastAsia="zh-CN"/>
        </w:rPr>
      </w:pPr>
    </w:p>
    <w:p w14:paraId="0687C843">
      <w:pPr>
        <w:pStyle w:val="90"/>
        <w:keepNext w:val="0"/>
        <w:keepLines w:val="0"/>
        <w:pageBreakBefore w:val="0"/>
        <w:widowControl/>
        <w:numPr>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i/>
          <w:sz w:val="22"/>
          <w:szCs w:val="22"/>
          <w:highlight w:val="none"/>
          <w:lang w:val="en-GB" w:eastAsia="en-US"/>
        </w:rPr>
      </w:pPr>
      <w:r>
        <w:rPr>
          <w:rFonts w:hint="eastAsia"/>
          <w:b/>
          <w:i/>
          <w:sz w:val="22"/>
          <w:szCs w:val="22"/>
          <w:highlight w:val="none"/>
          <w:lang w:val="en-US" w:eastAsia="zh-CN"/>
        </w:rPr>
        <w:t xml:space="preserve">: For the Rel-19 aperiodic standalone CJT calibration (CJTC) reporting, when linking CJTC Dd and Rel-18 eType-II CJT CSI reports is configured, the high layer parameter restrictedCMR-Selection should not be configured. </w:t>
      </w:r>
    </w:p>
    <w:p w14:paraId="0A273E4F">
      <w:pPr>
        <w:pStyle w:val="90"/>
        <w:keepNext w:val="0"/>
        <w:keepLines w:val="0"/>
        <w:pageBreakBefore w:val="0"/>
        <w:widowControl/>
        <w:numPr>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sz w:val="22"/>
          <w:szCs w:val="22"/>
          <w:lang w:val="en-US" w:eastAsia="zh-CN"/>
        </w:rPr>
      </w:pPr>
      <w:r>
        <w:rPr>
          <w:rFonts w:hint="eastAsia"/>
          <w:sz w:val="22"/>
          <w:szCs w:val="22"/>
          <w:lang w:val="en-US" w:eastAsia="zh-CN"/>
        </w:rPr>
        <w:t>：</w:t>
      </w:r>
      <w:r>
        <w:rPr>
          <w:rFonts w:hint="eastAsia"/>
          <w:i/>
          <w:iCs/>
          <w:sz w:val="22"/>
          <w:szCs w:val="22"/>
          <w:lang w:val="en-US" w:eastAsia="zh-CN"/>
        </w:rPr>
        <w:t xml:space="preserve">For the Rel-19 aperiodic standalone CJT calibration (CJTC) reporting, when linking CJTC Dd and Rel-18 eType-II CJT CSI reports is configured, if the DO value is </w:t>
      </w:r>
      <w:r>
        <w:rPr>
          <w:rFonts w:hint="default"/>
          <w:i/>
          <w:iCs/>
          <w:sz w:val="22"/>
          <w:szCs w:val="22"/>
          <w:lang w:val="en-US" w:eastAsia="zh-CN"/>
        </w:rPr>
        <w:t>‘</w:t>
      </w:r>
      <w:r>
        <w:rPr>
          <w:rFonts w:hint="eastAsia"/>
          <w:i/>
          <w:iCs/>
          <w:sz w:val="22"/>
          <w:szCs w:val="22"/>
          <w:lang w:val="en-US" w:eastAsia="zh-CN"/>
        </w:rPr>
        <w:t>out of range</w:t>
      </w:r>
      <w:r>
        <w:rPr>
          <w:rFonts w:hint="default"/>
          <w:i/>
          <w:iCs/>
          <w:sz w:val="22"/>
          <w:szCs w:val="22"/>
          <w:lang w:val="en-US" w:eastAsia="zh-CN"/>
        </w:rPr>
        <w:t>’</w:t>
      </w:r>
      <w:r>
        <w:rPr>
          <w:rFonts w:hint="eastAsia"/>
          <w:i/>
          <w:iCs/>
          <w:sz w:val="22"/>
          <w:szCs w:val="22"/>
          <w:lang w:val="en-US" w:eastAsia="zh-CN"/>
        </w:rPr>
        <w:t xml:space="preserve"> the correspond TRP will not participate in CJT. </w:t>
      </w:r>
    </w:p>
    <w:p w14:paraId="2D68303F">
      <w:pPr>
        <w:pStyle w:val="90"/>
        <w:keepNext w:val="0"/>
        <w:keepLines w:val="0"/>
        <w:pageBreakBefore w:val="0"/>
        <w:widowControl/>
        <w:numPr>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sz w:val="22"/>
          <w:szCs w:val="22"/>
          <w:lang w:val="en-US" w:eastAsia="zh-CN"/>
        </w:rPr>
        <w:t>：</w:t>
      </w:r>
      <w:r>
        <w:rPr>
          <w:rFonts w:hint="eastAsia"/>
          <w:i/>
          <w:iCs/>
          <w:sz w:val="22"/>
          <w:szCs w:val="22"/>
          <w:lang w:val="en-US" w:eastAsia="zh-CN"/>
        </w:rPr>
        <w:t>For the Rel-19 aperiodic standalone CJT calibration (CJTC) reporting, when linking CJTC Dd and Rel-18 eType-II CJT CSI reports is configured, or in general, the value of DO for the compensation for each CMR for CJT CSI report is determined by the NW.</w:t>
      </w:r>
    </w:p>
    <w:p w14:paraId="6FA1701F">
      <w:pPr>
        <w:pStyle w:val="90"/>
        <w:keepNext w:val="0"/>
        <w:keepLines w:val="0"/>
        <w:pageBreakBefore w:val="0"/>
        <w:widowControl/>
        <w:numPr>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sz w:val="22"/>
          <w:szCs w:val="22"/>
          <w:lang w:val="en-US" w:eastAsia="zh-CN"/>
        </w:rPr>
        <w:t>：</w:t>
      </w:r>
      <w:r>
        <w:rPr>
          <w:rFonts w:hint="eastAsia"/>
          <w:i/>
          <w:iCs/>
          <w:sz w:val="22"/>
          <w:szCs w:val="22"/>
          <w:lang w:val="en-US" w:eastAsia="zh-CN"/>
        </w:rPr>
        <w:t xml:space="preserve">For the Rel-19 aperiodic standalone CJT calibration (CJTC) reporting, when reporting DO and CJT CSI in the same reported instance, the DO should be mapped into part 2 Group 0. </w:t>
      </w:r>
    </w:p>
    <w:p w14:paraId="13B414F7">
      <w:pPr>
        <w:pStyle w:val="9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szCs w:val="20"/>
          <w:lang w:val="en-US" w:eastAsia="zh-CN"/>
        </w:rPr>
      </w:pPr>
    </w:p>
    <w:p w14:paraId="5EFEED9B">
      <w:pPr>
        <w:pStyle w:val="91"/>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szCs w:val="20"/>
          <w:lang w:val="en-US" w:eastAsia="zh-CN"/>
        </w:rPr>
      </w:pPr>
    </w:p>
    <w:p w14:paraId="236AFA16">
      <w:pPr>
        <w:pStyle w:val="2"/>
        <w:numPr>
          <w:ilvl w:val="0"/>
          <w:numId w:val="0"/>
        </w:numPr>
        <w:ind w:left="432" w:hanging="432"/>
      </w:pPr>
      <w:bookmarkStart w:id="3" w:name="_Ref124589665"/>
      <w:bookmarkStart w:id="4" w:name="_Ref124671424"/>
      <w:bookmarkStart w:id="5" w:name="_Ref71620620"/>
      <w:r>
        <w:t>References</w:t>
      </w:r>
    </w:p>
    <w:bookmarkEnd w:id="3"/>
    <w:bookmarkEnd w:id="4"/>
    <w:bookmarkEnd w:id="5"/>
    <w:p w14:paraId="34B26F53">
      <w:pPr>
        <w:rPr>
          <w:rFonts w:hint="default" w:eastAsiaTheme="minorEastAsia"/>
          <w:lang w:val="en-US" w:eastAsia="zh-CN"/>
        </w:rPr>
      </w:pPr>
      <w:r>
        <w:rPr>
          <w:rFonts w:hint="eastAsia"/>
          <w:kern w:val="2"/>
          <w:lang w:val="en-GB" w:eastAsia="zh-CN"/>
        </w:rPr>
        <w:t>[</w:t>
      </w:r>
      <w:r>
        <w:rPr>
          <w:kern w:val="2"/>
          <w:lang w:val="en-GB" w:eastAsia="zh-CN"/>
        </w:rPr>
        <w:t xml:space="preserve">1] </w:t>
      </w:r>
      <w:r>
        <w:rPr>
          <w:rFonts w:eastAsiaTheme="minorEastAsia"/>
          <w:lang w:val="en-GB" w:eastAsia="zh-CN"/>
        </w:rPr>
        <w:t>RAN1, Chair’s Notes RAN1#11</w:t>
      </w:r>
      <w:r>
        <w:rPr>
          <w:rFonts w:hint="eastAsia" w:eastAsiaTheme="minorEastAsia"/>
          <w:lang w:val="en-US" w:eastAsia="zh-CN"/>
        </w:rPr>
        <w:t>8b</w:t>
      </w:r>
      <w:r>
        <w:rPr>
          <w:rFonts w:eastAsiaTheme="minorEastAsia"/>
          <w:lang w:val="en-GB" w:eastAsia="zh-CN"/>
        </w:rPr>
        <w:t xml:space="preserve">, </w:t>
      </w:r>
      <w:r>
        <w:rPr>
          <w:rFonts w:hint="eastAsia" w:eastAsiaTheme="minorEastAsia"/>
          <w:lang w:val="en-US" w:eastAsia="zh-CN"/>
        </w:rPr>
        <w:t>Dec 14</w:t>
      </w:r>
      <w:r>
        <w:rPr>
          <w:rFonts w:eastAsiaTheme="minorEastAsia"/>
          <w:lang w:val="en-GB" w:eastAsia="zh-CN"/>
        </w:rPr>
        <w:t xml:space="preserve"> – </w:t>
      </w:r>
      <w:r>
        <w:rPr>
          <w:rFonts w:hint="eastAsia" w:eastAsiaTheme="minorEastAsia"/>
          <w:lang w:val="en-US" w:eastAsia="zh-CN"/>
        </w:rPr>
        <w:t>18</w:t>
      </w:r>
      <w:r>
        <w:rPr>
          <w:rFonts w:eastAsiaTheme="minorEastAsia"/>
          <w:lang w:val="en-GB" w:eastAsia="zh-CN"/>
        </w:rPr>
        <w:t>, 202</w:t>
      </w:r>
      <w:r>
        <w:rPr>
          <w:rFonts w:hint="eastAsia" w:eastAsiaTheme="minorEastAsia"/>
          <w:lang w:val="en-US" w:eastAsia="zh-CN"/>
        </w:rPr>
        <w:t>4</w:t>
      </w:r>
    </w:p>
    <w:bookmarkEnd w:id="2"/>
    <w:p w14:paraId="3A8238E2">
      <w:pPr>
        <w:rPr>
          <w:lang w:val="en-GB"/>
        </w:rPr>
      </w:pPr>
    </w:p>
    <w:p w14:paraId="562F9EF1">
      <w:pPr>
        <w:rPr>
          <w:lang w:val="en-GB"/>
        </w:rPr>
      </w:pPr>
    </w:p>
    <w:p w14:paraId="12DCB7F6">
      <w:pPr>
        <w:rPr>
          <w:lang w:val="en-GB"/>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90"/>
      <w:suff w:val="space"/>
      <w:lvlText w:val="Proposal %1"/>
      <w:lvlJc w:val="left"/>
      <w:pPr>
        <w:ind w:left="1744" w:hanging="1304"/>
      </w:pPr>
      <w:rPr>
        <w:rFonts w:hint="default"/>
        <w:sz w:val="22"/>
        <w:szCs w:val="22"/>
      </w:rPr>
    </w:lvl>
    <w:lvl w:ilvl="1" w:tentative="0">
      <w:start w:val="1"/>
      <w:numFmt w:val="lowerLetter"/>
      <w:lvlText w:val="%2."/>
      <w:lvlJc w:val="left"/>
      <w:pPr>
        <w:tabs>
          <w:tab w:val="left" w:pos="1440"/>
        </w:tabs>
        <w:ind w:left="1880" w:hanging="360"/>
      </w:pPr>
    </w:lvl>
    <w:lvl w:ilvl="2" w:tentative="0">
      <w:start w:val="1"/>
      <w:numFmt w:val="lowerRoman"/>
      <w:lvlText w:val="%3."/>
      <w:lvlJc w:val="right"/>
      <w:pPr>
        <w:tabs>
          <w:tab w:val="left" w:pos="2160"/>
        </w:tabs>
        <w:ind w:left="2600" w:hanging="180"/>
      </w:pPr>
    </w:lvl>
    <w:lvl w:ilvl="3" w:tentative="0">
      <w:start w:val="1"/>
      <w:numFmt w:val="decimal"/>
      <w:lvlText w:val="%4."/>
      <w:lvlJc w:val="left"/>
      <w:pPr>
        <w:tabs>
          <w:tab w:val="left" w:pos="2880"/>
        </w:tabs>
        <w:ind w:left="3320" w:hanging="360"/>
      </w:pPr>
    </w:lvl>
    <w:lvl w:ilvl="4" w:tentative="0">
      <w:start w:val="1"/>
      <w:numFmt w:val="lowerLetter"/>
      <w:lvlText w:val="%5."/>
      <w:lvlJc w:val="left"/>
      <w:pPr>
        <w:tabs>
          <w:tab w:val="left" w:pos="3600"/>
        </w:tabs>
        <w:ind w:left="4040" w:hanging="360"/>
      </w:pPr>
    </w:lvl>
    <w:lvl w:ilvl="5" w:tentative="0">
      <w:start w:val="1"/>
      <w:numFmt w:val="lowerRoman"/>
      <w:lvlText w:val="%6."/>
      <w:lvlJc w:val="right"/>
      <w:pPr>
        <w:tabs>
          <w:tab w:val="left" w:pos="4320"/>
        </w:tabs>
        <w:ind w:left="4760" w:hanging="180"/>
      </w:pPr>
    </w:lvl>
    <w:lvl w:ilvl="6" w:tentative="0">
      <w:start w:val="1"/>
      <w:numFmt w:val="decimal"/>
      <w:lvlText w:val="%7."/>
      <w:lvlJc w:val="left"/>
      <w:pPr>
        <w:tabs>
          <w:tab w:val="left" w:pos="5040"/>
        </w:tabs>
        <w:ind w:left="5480" w:hanging="360"/>
      </w:pPr>
    </w:lvl>
    <w:lvl w:ilvl="7" w:tentative="0">
      <w:start w:val="1"/>
      <w:numFmt w:val="lowerLetter"/>
      <w:lvlText w:val="%8."/>
      <w:lvlJc w:val="left"/>
      <w:pPr>
        <w:tabs>
          <w:tab w:val="left" w:pos="5760"/>
        </w:tabs>
        <w:ind w:left="6200" w:hanging="360"/>
      </w:pPr>
    </w:lvl>
    <w:lvl w:ilvl="8" w:tentative="0">
      <w:start w:val="1"/>
      <w:numFmt w:val="lowerRoman"/>
      <w:lvlText w:val="%9."/>
      <w:lvlJc w:val="right"/>
      <w:pPr>
        <w:tabs>
          <w:tab w:val="left" w:pos="6480"/>
        </w:tabs>
        <w:ind w:left="6920" w:hanging="180"/>
      </w:pPr>
    </w:lvl>
  </w:abstractNum>
  <w:abstractNum w:abstractNumId="1">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26FF3B92"/>
    <w:multiLevelType w:val="multilevel"/>
    <w:tmpl w:val="26FF3B92"/>
    <w:lvl w:ilvl="0" w:tentative="0">
      <w:start w:val="1"/>
      <w:numFmt w:val="decimal"/>
      <w:pStyle w:val="91"/>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8A83227"/>
    <w:multiLevelType w:val="multilevel"/>
    <w:tmpl w:val="38A83227"/>
    <w:lvl w:ilvl="0" w:tentative="0">
      <w:start w:val="1"/>
      <w:numFmt w:val="bullet"/>
      <w:lvlText w:val="-"/>
      <w:lvlJc w:val="left"/>
      <w:pPr>
        <w:ind w:left="720" w:hanging="360"/>
      </w:pPr>
      <w:rPr>
        <w:rFonts w:hint="default" w:ascii="Calibri" w:hAnsi="Calibri" w:eastAsia="Malgun Gothic"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num w:numId="1">
    <w:abstractNumId w:val="3"/>
  </w:num>
  <w:num w:numId="2">
    <w:abstractNumId w:val="5"/>
  </w:num>
  <w:num w:numId="3">
    <w:abstractNumId w:val="1"/>
  </w:num>
  <w:num w:numId="4">
    <w:abstractNumId w:val="0"/>
  </w:num>
  <w:num w:numId="5">
    <w:abstractNumId w:val="2"/>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9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08C"/>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3C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F11666"/>
    <w:rsid w:val="033F3ED9"/>
    <w:rsid w:val="03430DB3"/>
    <w:rsid w:val="04082AD7"/>
    <w:rsid w:val="05B55472"/>
    <w:rsid w:val="0AFE23FE"/>
    <w:rsid w:val="0B4E042A"/>
    <w:rsid w:val="0BC02AF8"/>
    <w:rsid w:val="0DC14423"/>
    <w:rsid w:val="0E856193"/>
    <w:rsid w:val="0EB21FBD"/>
    <w:rsid w:val="0EFD148A"/>
    <w:rsid w:val="0F1862C4"/>
    <w:rsid w:val="0FB939C9"/>
    <w:rsid w:val="0FD61908"/>
    <w:rsid w:val="121A1CC6"/>
    <w:rsid w:val="16755676"/>
    <w:rsid w:val="1780534F"/>
    <w:rsid w:val="19305FBC"/>
    <w:rsid w:val="19434886"/>
    <w:rsid w:val="19D5030A"/>
    <w:rsid w:val="1A885044"/>
    <w:rsid w:val="1AFD2812"/>
    <w:rsid w:val="1B212B46"/>
    <w:rsid w:val="1BB6133F"/>
    <w:rsid w:val="1C0F5A8D"/>
    <w:rsid w:val="1CED47A6"/>
    <w:rsid w:val="1D5E3A3C"/>
    <w:rsid w:val="1D6B7F07"/>
    <w:rsid w:val="1E6C1577"/>
    <w:rsid w:val="201F31B6"/>
    <w:rsid w:val="20C92CE4"/>
    <w:rsid w:val="24777D3C"/>
    <w:rsid w:val="24E44142"/>
    <w:rsid w:val="25050C41"/>
    <w:rsid w:val="25E346C9"/>
    <w:rsid w:val="262275D1"/>
    <w:rsid w:val="270C62B7"/>
    <w:rsid w:val="2AFF5B04"/>
    <w:rsid w:val="2B8002E5"/>
    <w:rsid w:val="2BB73493"/>
    <w:rsid w:val="2C7F779D"/>
    <w:rsid w:val="2DC225D3"/>
    <w:rsid w:val="2E7C6529"/>
    <w:rsid w:val="2E8F6C23"/>
    <w:rsid w:val="2FD17869"/>
    <w:rsid w:val="2FE63DAE"/>
    <w:rsid w:val="30202DD3"/>
    <w:rsid w:val="30C714A1"/>
    <w:rsid w:val="310B3146"/>
    <w:rsid w:val="31684F50"/>
    <w:rsid w:val="31D67EE9"/>
    <w:rsid w:val="333170A5"/>
    <w:rsid w:val="33721B98"/>
    <w:rsid w:val="344C23E9"/>
    <w:rsid w:val="37283234"/>
    <w:rsid w:val="39C541E9"/>
    <w:rsid w:val="3A0722B3"/>
    <w:rsid w:val="3D2A116D"/>
    <w:rsid w:val="3E173A67"/>
    <w:rsid w:val="3F7D4F5C"/>
    <w:rsid w:val="407F60FD"/>
    <w:rsid w:val="43581053"/>
    <w:rsid w:val="457B39F8"/>
    <w:rsid w:val="45824C19"/>
    <w:rsid w:val="4856518C"/>
    <w:rsid w:val="49C57706"/>
    <w:rsid w:val="4A9E7382"/>
    <w:rsid w:val="4C06511B"/>
    <w:rsid w:val="4C350CC1"/>
    <w:rsid w:val="4D761E2D"/>
    <w:rsid w:val="4D8E7336"/>
    <w:rsid w:val="4E704ACE"/>
    <w:rsid w:val="4E7B594C"/>
    <w:rsid w:val="4F5D32A4"/>
    <w:rsid w:val="50D415D0"/>
    <w:rsid w:val="51AA6DC2"/>
    <w:rsid w:val="51BD002A"/>
    <w:rsid w:val="521F2A93"/>
    <w:rsid w:val="52F469FC"/>
    <w:rsid w:val="54F26F78"/>
    <w:rsid w:val="55FD30EB"/>
    <w:rsid w:val="573945F7"/>
    <w:rsid w:val="57E22340"/>
    <w:rsid w:val="58873140"/>
    <w:rsid w:val="58B8154B"/>
    <w:rsid w:val="5A5B2AD6"/>
    <w:rsid w:val="5AEF0175"/>
    <w:rsid w:val="5C344428"/>
    <w:rsid w:val="606704E8"/>
    <w:rsid w:val="61AA2053"/>
    <w:rsid w:val="63C33ED1"/>
    <w:rsid w:val="64F13BAE"/>
    <w:rsid w:val="6639534B"/>
    <w:rsid w:val="66B15F58"/>
    <w:rsid w:val="67954AC1"/>
    <w:rsid w:val="68060525"/>
    <w:rsid w:val="68A14D4D"/>
    <w:rsid w:val="68F25B3B"/>
    <w:rsid w:val="694A2693"/>
    <w:rsid w:val="6A954890"/>
    <w:rsid w:val="6AE40637"/>
    <w:rsid w:val="6D5B6C1D"/>
    <w:rsid w:val="6DA419F4"/>
    <w:rsid w:val="6DBD3434"/>
    <w:rsid w:val="6DBE0E8A"/>
    <w:rsid w:val="6DF93AB7"/>
    <w:rsid w:val="6EF23468"/>
    <w:rsid w:val="70564AD8"/>
    <w:rsid w:val="70790560"/>
    <w:rsid w:val="750E6C6B"/>
    <w:rsid w:val="76FC3DB3"/>
    <w:rsid w:val="77F9775E"/>
    <w:rsid w:val="786A065C"/>
    <w:rsid w:val="79B957FB"/>
    <w:rsid w:val="7B350CC3"/>
    <w:rsid w:val="7B5E24E1"/>
    <w:rsid w:val="7E074F8C"/>
    <w:rsid w:val="7F743B6E"/>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qFormat/>
    <w:uiPriority w:val="99"/>
    <w:pPr>
      <w:tabs>
        <w:tab w:val="center" w:pos="4680"/>
        <w:tab w:val="right" w:pos="9360"/>
      </w:tabs>
    </w:pPr>
  </w:style>
  <w:style w:type="paragraph" w:styleId="19">
    <w:name w:val="footnote text"/>
    <w:basedOn w:val="1"/>
    <w:link w:val="81"/>
    <w:semiHidden/>
    <w:qFormat/>
    <w:uiPriority w:val="99"/>
    <w:rPr>
      <w:sz w:val="20"/>
      <w:szCs w:val="20"/>
    </w:rPr>
  </w:style>
  <w:style w:type="paragraph" w:styleId="20">
    <w:name w:val="Body Text 2"/>
    <w:basedOn w:val="1"/>
    <w:link w:val="79"/>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semiHidden/>
    <w:unhideWhenUsed/>
    <w:qFormat/>
    <w:uiPriority w:val="99"/>
    <w:rPr>
      <w:b/>
      <w:bCs/>
    </w:rPr>
  </w:style>
  <w:style w:type="paragraph" w:styleId="23">
    <w:name w:val="Body Text First Indent"/>
    <w:basedOn w:val="15"/>
    <w:link w:val="54"/>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qFormat/>
    <w:uiPriority w:val="99"/>
    <w:rPr>
      <w:sz w:val="22"/>
      <w:szCs w:val="22"/>
    </w:rPr>
  </w:style>
  <w:style w:type="character" w:customStyle="1" w:styleId="41">
    <w:name w:val="页脚 字符"/>
    <w:basedOn w:val="26"/>
    <w:link w:val="17"/>
    <w:qFormat/>
    <w:uiPriority w:val="99"/>
    <w:rPr>
      <w:sz w:val="22"/>
      <w:szCs w:val="22"/>
    </w:rPr>
  </w:style>
  <w:style w:type="paragraph" w:customStyle="1" w:styleId="42">
    <w:name w:val="tablecol"/>
    <w:basedOn w:val="39"/>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semiHidden/>
    <w:qFormat/>
    <w:uiPriority w:val="99"/>
    <w:rPr>
      <w:color w:val="808080"/>
    </w:rPr>
  </w:style>
  <w:style w:type="character" w:customStyle="1" w:styleId="45">
    <w:name w:val="批注文字 字符"/>
    <w:basedOn w:val="26"/>
    <w:link w:val="14"/>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locked/>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locked/>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qFormat/>
    <w:uiPriority w:val="0"/>
    <w:rPr>
      <w:i/>
      <w:iCs/>
      <w:sz w:val="24"/>
      <w:szCs w:val="24"/>
    </w:rPr>
  </w:style>
  <w:style w:type="character" w:customStyle="1" w:styleId="78">
    <w:name w:val="标题 9 字符"/>
    <w:basedOn w:val="26"/>
    <w:link w:val="10"/>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semiHidden/>
    <w:qFormat/>
    <w:uiPriority w:val="99"/>
  </w:style>
  <w:style w:type="character" w:customStyle="1" w:styleId="82">
    <w:name w:val="列表段落 字符3"/>
    <w:autoRedefine/>
    <w:qFormat/>
    <w:locked/>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Proposal"/>
    <w:basedOn w:val="15"/>
    <w:autoRedefine/>
    <w:qFormat/>
    <w:uiPriority w:val="0"/>
    <w:pPr>
      <w:numPr>
        <w:ilvl w:val="0"/>
        <w:numId w:val="4"/>
      </w:numPr>
    </w:pPr>
    <w:rPr>
      <w:b/>
      <w:bCs/>
    </w:rPr>
  </w:style>
  <w:style w:type="paragraph" w:customStyle="1" w:styleId="91">
    <w:name w:val="observation"/>
    <w:basedOn w:val="1"/>
    <w:qFormat/>
    <w:uiPriority w:val="0"/>
    <w:pPr>
      <w:numPr>
        <w:ilvl w:val="0"/>
        <w:numId w:val="5"/>
      </w:numPr>
      <w:ind w:left="1418" w:hanging="1418"/>
    </w:pPr>
    <w:rPr>
      <w:rFonts w:eastAsiaTheme="minorEastAsia"/>
      <w:b/>
      <w:i/>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1020</Words>
  <Characters>5281</Characters>
  <Lines>268</Lines>
  <Paragraphs>75</Paragraphs>
  <TotalTime>25</TotalTime>
  <ScaleCrop>false</ScaleCrop>
  <LinksUpToDate>false</LinksUpToDate>
  <CharactersWithSpaces>6269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2024-11-08T12:52:03Z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2052-12.1.0.18608</vt:lpwstr>
  </property>
  <property fmtid="{D5CDD505-2E9C-101B-9397-08002B2CF9AE}" pid="10" name="ICV">
    <vt:lpwstr>55CE1E90207B4C8780514242C626DF46_13</vt:lpwstr>
  </property>
</Properties>
</file>